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F" w:rsidRDefault="00BF3108">
      <w:r w:rsidRPr="00BF3108">
        <w:drawing>
          <wp:inline distT="0" distB="0" distL="0" distR="0">
            <wp:extent cx="5200650" cy="3467100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F3108" w:rsidRDefault="00BF3108">
      <w:r>
        <w:t>№1</w:t>
      </w:r>
    </w:p>
    <w:p w:rsidR="00BF3108" w:rsidRDefault="00BF3108">
      <w:r w:rsidRPr="00BF3108">
        <w:drawing>
          <wp:inline distT="0" distB="0" distL="0" distR="0">
            <wp:extent cx="5048250" cy="2609850"/>
            <wp:effectExtent l="0" t="0" r="0" b="0"/>
            <wp:docPr id="11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3108" w:rsidRDefault="00BF3108">
      <w:r>
        <w:t>№2</w:t>
      </w:r>
    </w:p>
    <w:p w:rsidR="00BF3108" w:rsidRDefault="00BF3108">
      <w:r w:rsidRPr="00BF3108">
        <w:lastRenderedPageBreak/>
        <w:drawing>
          <wp:inline distT="0" distB="0" distL="0" distR="0">
            <wp:extent cx="5848350" cy="3581400"/>
            <wp:effectExtent l="0" t="0" r="0" b="0"/>
            <wp:docPr id="1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3108" w:rsidRDefault="00BF3108">
      <w:r>
        <w:t>№3</w:t>
      </w:r>
    </w:p>
    <w:p w:rsidR="00BF3108" w:rsidRDefault="00BF3108">
      <w:r w:rsidRPr="00BF3108">
        <w:drawing>
          <wp:inline distT="0" distB="0" distL="0" distR="0">
            <wp:extent cx="5753100" cy="4371975"/>
            <wp:effectExtent l="0" t="0" r="0" b="0"/>
            <wp:docPr id="1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3108" w:rsidRDefault="00BF3108">
      <w:r>
        <w:t>№4</w:t>
      </w:r>
    </w:p>
    <w:p w:rsidR="00BF3108" w:rsidRDefault="00BF3108">
      <w:r w:rsidRPr="00BF3108">
        <w:lastRenderedPageBreak/>
        <w:drawing>
          <wp:inline distT="0" distB="0" distL="0" distR="0">
            <wp:extent cx="5181600" cy="3124200"/>
            <wp:effectExtent l="0" t="0" r="0" b="0"/>
            <wp:docPr id="17" name="Объект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108" w:rsidRDefault="00BF3108">
      <w:r>
        <w:t>№5</w:t>
      </w:r>
    </w:p>
    <w:p w:rsidR="00BF3108" w:rsidRDefault="00BF3108">
      <w:r w:rsidRPr="00BF3108">
        <w:drawing>
          <wp:inline distT="0" distB="0" distL="0" distR="0">
            <wp:extent cx="5067300" cy="2461891"/>
            <wp:effectExtent l="19050" t="0" r="19050" b="0"/>
            <wp:docPr id="18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3108" w:rsidRDefault="00BF3108">
      <w:r>
        <w:t>№6</w:t>
      </w:r>
    </w:p>
    <w:p w:rsidR="00BF3108" w:rsidRDefault="00BF310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179070</wp:posOffset>
            </wp:positionV>
            <wp:extent cx="5245100" cy="2527300"/>
            <wp:effectExtent l="0" t="0" r="0" b="0"/>
            <wp:wrapSquare wrapText="right"/>
            <wp:docPr id="20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t>№7</w:t>
      </w:r>
    </w:p>
    <w:sectPr w:rsidR="00BF3108" w:rsidSect="00BF310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3108"/>
    <w:rsid w:val="004A40EE"/>
    <w:rsid w:val="00607CF3"/>
    <w:rsid w:val="00BF3108"/>
    <w:rsid w:val="00F2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3.package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4.package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5.package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6.package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2126865671641816"/>
          <c:y val="7.0621468926553702E-2"/>
          <c:w val="0.54664179104477784"/>
          <c:h val="0.79378531073446323"/>
        </c:manualLayout>
      </c:layout>
      <c:areaChart>
        <c:grouping val="stacked"/>
        <c:ser>
          <c:idx val="2"/>
          <c:order val="0"/>
          <c:tx>
            <c:strRef>
              <c:f>Sheet1!$A$4</c:f>
              <c:strCache>
                <c:ptCount val="1"/>
                <c:pt idx="0">
                  <c:v>денежные доходы населения 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numRef>
              <c:f>Sheet1!$B$1:$F$1</c:f>
              <c:numCache>
                <c:formatCode>General</c:formatCode>
                <c:ptCount val="5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515.9</c:v>
                </c:pt>
                <c:pt idx="1">
                  <c:v>2281.1</c:v>
                </c:pt>
                <c:pt idx="2">
                  <c:v>8111.9</c:v>
                </c:pt>
                <c:pt idx="3">
                  <c:v>15687</c:v>
                </c:pt>
                <c:pt idx="4">
                  <c:v>30474</c:v>
                </c:pt>
              </c:numCache>
            </c:numRef>
          </c:val>
        </c:ser>
        <c:axId val="150331776"/>
        <c:axId val="65033344"/>
      </c:areaChart>
      <c:catAx>
        <c:axId val="15033177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033344"/>
        <c:crosses val="autoZero"/>
        <c:auto val="1"/>
        <c:lblAlgn val="ctr"/>
        <c:lblOffset val="100"/>
        <c:tickLblSkip val="1"/>
        <c:tickMarkSkip val="1"/>
      </c:catAx>
      <c:valAx>
        <c:axId val="650333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0331776"/>
        <c:crosses val="autoZero"/>
        <c:crossBetween val="midCat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014925373134364"/>
          <c:y val="0.40395480225988811"/>
          <c:w val="0.27425373134328357"/>
          <c:h val="0.12429378531073473"/>
        </c:manualLayout>
      </c:layout>
      <c:spPr>
        <a:noFill/>
        <a:ln w="25399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5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cked"/>
        <c:ser>
          <c:idx val="0"/>
          <c:order val="0"/>
          <c:tx>
            <c:strRef>
              <c:f>'Лист1'!$B$1</c:f>
              <c:strCache>
                <c:ptCount val="1"/>
                <c:pt idx="0">
                  <c:v>заработная плата населения</c:v>
                </c:pt>
              </c:strCache>
            </c:strRef>
          </c:tx>
          <c:marker>
            <c:symbol val="none"/>
          </c:marker>
          <c:cat>
            <c:numRef>
              <c:f>'Лист1'!$A$2:$A$7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'Лист1'!$B$2:$B$7</c:f>
              <c:numCache>
                <c:formatCode>General</c:formatCode>
                <c:ptCount val="6"/>
                <c:pt idx="0">
                  <c:v>20952</c:v>
                </c:pt>
                <c:pt idx="1">
                  <c:v>23369</c:v>
                </c:pt>
                <c:pt idx="2">
                  <c:v>26629</c:v>
                </c:pt>
                <c:pt idx="3">
                  <c:v>29792</c:v>
                </c:pt>
                <c:pt idx="4">
                  <c:v>32495</c:v>
                </c:pt>
                <c:pt idx="5">
                  <c:v>34030</c:v>
                </c:pt>
              </c:numCache>
            </c:numRef>
          </c:val>
        </c:ser>
        <c:marker val="1"/>
        <c:axId val="72938240"/>
        <c:axId val="72939776"/>
      </c:lineChart>
      <c:catAx>
        <c:axId val="729382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72939776"/>
        <c:crosses val="autoZero"/>
        <c:auto val="1"/>
        <c:lblAlgn val="ctr"/>
        <c:lblOffset val="100"/>
      </c:catAx>
      <c:valAx>
        <c:axId val="729397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7293824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874172185430507"/>
          <c:y val="6.8306010928961935E-2"/>
          <c:w val="0.79635761589403953"/>
          <c:h val="0.50546448087431539"/>
        </c:manualLayout>
      </c:layout>
      <c:barChart>
        <c:barDir val="col"/>
        <c:grouping val="stacked"/>
        <c:ser>
          <c:idx val="2"/>
          <c:order val="0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4"/>
            <c:spPr>
              <a:pattFill prst="wdDnDiag">
                <a:fgClr>
                  <a:srgbClr val="FFFF99"/>
                </a:fgClr>
                <a:bgClr>
                  <a:srgbClr val="FFFFCC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Sheet1!$B$1:$K$1</c:f>
              <c:strCache>
                <c:ptCount val="10"/>
                <c:pt idx="0">
                  <c:v>Дальневосточный ФО</c:v>
                </c:pt>
                <c:pt idx="1">
                  <c:v>Центральный ФО</c:v>
                </c:pt>
                <c:pt idx="2">
                  <c:v>Уральский ФО</c:v>
                </c:pt>
                <c:pt idx="3">
                  <c:v>Северо-Западный ФО</c:v>
                </c:pt>
                <c:pt idx="4">
                  <c:v>РФ</c:v>
                </c:pt>
                <c:pt idx="5">
                  <c:v>Сибирский ФО</c:v>
                </c:pt>
                <c:pt idx="6">
                  <c:v>Приволжский ФО</c:v>
                </c:pt>
                <c:pt idx="7">
                  <c:v>Южный ФО</c:v>
                </c:pt>
                <c:pt idx="8">
                  <c:v>Крымский ФО</c:v>
                </c:pt>
                <c:pt idx="9">
                  <c:v>Северо-Кавказский ФО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43164</c:v>
                </c:pt>
                <c:pt idx="1">
                  <c:v>41961</c:v>
                </c:pt>
                <c:pt idx="2">
                  <c:v>39083</c:v>
                </c:pt>
                <c:pt idx="3">
                  <c:v>37931</c:v>
                </c:pt>
                <c:pt idx="4">
                  <c:v>34030</c:v>
                </c:pt>
                <c:pt idx="5">
                  <c:v>29616</c:v>
                </c:pt>
                <c:pt idx="6">
                  <c:v>25632</c:v>
                </c:pt>
                <c:pt idx="7">
                  <c:v>25471</c:v>
                </c:pt>
                <c:pt idx="8">
                  <c:v>22313</c:v>
                </c:pt>
                <c:pt idx="9">
                  <c:v>21720</c:v>
                </c:pt>
              </c:numCache>
            </c:numRef>
          </c:val>
        </c:ser>
        <c:overlap val="100"/>
        <c:axId val="66778624"/>
        <c:axId val="66780160"/>
      </c:barChart>
      <c:catAx>
        <c:axId val="667786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6780160"/>
        <c:crosses val="autoZero"/>
        <c:auto val="1"/>
        <c:lblAlgn val="ctr"/>
        <c:lblOffset val="100"/>
        <c:tickLblSkip val="1"/>
        <c:tickMarkSkip val="1"/>
      </c:catAx>
      <c:valAx>
        <c:axId val="667801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677862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25400">
          <a:noFill/>
        </a:ln>
      </c:spPr>
    </c:sideWall>
    <c:backWall>
      <c:spPr>
        <a:solidFill>
          <a:srgbClr val="C0C0C0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606060606060624"/>
          <c:y val="4.0089086859688358E-2"/>
          <c:w val="0.87710437710437861"/>
          <c:h val="0.56792873051224968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00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Sheet1!$B$1:$T$1</c:f>
              <c:strCache>
                <c:ptCount val="19"/>
                <c:pt idx="0">
                  <c:v>г. Москва</c:v>
                </c:pt>
                <c:pt idx="1">
                  <c:v>ЦФО</c:v>
                </c:pt>
                <c:pt idx="2">
                  <c:v>Московская область</c:v>
                </c:pt>
                <c:pt idx="3">
                  <c:v>Калужская область</c:v>
                </c:pt>
                <c:pt idx="4">
                  <c:v>Тульская область</c:v>
                </c:pt>
                <c:pt idx="5">
                  <c:v>Ярославская область</c:v>
                </c:pt>
                <c:pt idx="6">
                  <c:v>Рязанская область</c:v>
                </c:pt>
                <c:pt idx="7">
                  <c:v>Белгородская область</c:v>
                </c:pt>
                <c:pt idx="8">
                  <c:v>Воронежская область</c:v>
                </c:pt>
                <c:pt idx="9">
                  <c:v>Тверская область</c:v>
                </c:pt>
                <c:pt idx="10">
                  <c:v>Липецкая область</c:v>
                </c:pt>
                <c:pt idx="11">
                  <c:v>Курская область</c:v>
                </c:pt>
                <c:pt idx="12">
                  <c:v>Владимирская область</c:v>
                </c:pt>
                <c:pt idx="13">
                  <c:v>Смоленская область</c:v>
                </c:pt>
                <c:pt idx="14">
                  <c:v>Костромская область</c:v>
                </c:pt>
                <c:pt idx="15">
                  <c:v>Орловская область</c:v>
                </c:pt>
                <c:pt idx="16">
                  <c:v>Тамбовская область</c:v>
                </c:pt>
                <c:pt idx="17">
                  <c:v>Брянская область</c:v>
                </c:pt>
                <c:pt idx="18">
                  <c:v>Ивановская область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64310</c:v>
                </c:pt>
                <c:pt idx="1">
                  <c:v>41961</c:v>
                </c:pt>
                <c:pt idx="2">
                  <c:v>40643</c:v>
                </c:pt>
                <c:pt idx="3">
                  <c:v>29939</c:v>
                </c:pt>
                <c:pt idx="4">
                  <c:v>27555</c:v>
                </c:pt>
                <c:pt idx="5">
                  <c:v>26748</c:v>
                </c:pt>
                <c:pt idx="6">
                  <c:v>25482</c:v>
                </c:pt>
                <c:pt idx="7">
                  <c:v>25456</c:v>
                </c:pt>
                <c:pt idx="8">
                  <c:v>24906</c:v>
                </c:pt>
                <c:pt idx="9">
                  <c:v>24804</c:v>
                </c:pt>
                <c:pt idx="10">
                  <c:v>24542</c:v>
                </c:pt>
                <c:pt idx="11">
                  <c:v>23921</c:v>
                </c:pt>
                <c:pt idx="12">
                  <c:v>23877</c:v>
                </c:pt>
                <c:pt idx="13">
                  <c:v>23470</c:v>
                </c:pt>
                <c:pt idx="14">
                  <c:v>21796</c:v>
                </c:pt>
                <c:pt idx="15">
                  <c:v>21772</c:v>
                </c:pt>
                <c:pt idx="16">
                  <c:v>21725</c:v>
                </c:pt>
                <c:pt idx="17">
                  <c:v>21679</c:v>
                </c:pt>
                <c:pt idx="18">
                  <c:v>21161</c:v>
                </c:pt>
              </c:numCache>
            </c:numRef>
          </c:val>
        </c:ser>
        <c:gapDepth val="0"/>
        <c:shape val="box"/>
        <c:axId val="146572800"/>
        <c:axId val="146585472"/>
        <c:axId val="0"/>
      </c:bar3DChart>
      <c:catAx>
        <c:axId val="1465728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45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6585472"/>
        <c:crosses val="autoZero"/>
        <c:auto val="1"/>
        <c:lblAlgn val="ctr"/>
        <c:lblOffset val="100"/>
        <c:tickLblSkip val="1"/>
        <c:tickMarkSkip val="1"/>
      </c:catAx>
      <c:valAx>
        <c:axId val="1465854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657280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3081761006289308"/>
          <c:y val="0.10480349344978165"/>
          <c:w val="0.62264150943396412"/>
          <c:h val="0.43668122270742382"/>
        </c:manualLayout>
      </c:layout>
      <c:line3D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-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Чукотский АО</c:v>
                </c:pt>
                <c:pt idx="1">
                  <c:v>РФ</c:v>
                </c:pt>
                <c:pt idx="2">
                  <c:v>Республика Дагестан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79531</c:v>
                </c:pt>
                <c:pt idx="1">
                  <c:v>34030</c:v>
                </c:pt>
                <c:pt idx="2">
                  <c:v>19239</c:v>
                </c:pt>
              </c:numCache>
            </c:numRef>
          </c:val>
        </c:ser>
        <c:gapDepth val="0"/>
        <c:axId val="65385216"/>
        <c:axId val="65386752"/>
        <c:axId val="65056256"/>
      </c:line3DChart>
      <c:catAx>
        <c:axId val="653852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386752"/>
        <c:crosses val="autoZero"/>
        <c:auto val="1"/>
        <c:lblAlgn val="ctr"/>
        <c:lblOffset val="100"/>
        <c:tickLblSkip val="1"/>
        <c:tickMarkSkip val="1"/>
      </c:catAx>
      <c:valAx>
        <c:axId val="653867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5385216"/>
        <c:crosses val="autoZero"/>
        <c:crossBetween val="between"/>
        <c:majorUnit val="20000"/>
      </c:valAx>
      <c:serAx>
        <c:axId val="65056256"/>
        <c:scaling>
          <c:orientation val="minMax"/>
        </c:scaling>
        <c:delete val="1"/>
        <c:axPos val="b"/>
        <c:tickLblPos val="none"/>
        <c:crossAx val="65386752"/>
        <c:crosses val="autoZero"/>
      </c:ser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autoTitleDeleted val="1"/>
    <c:plotArea>
      <c:layout>
        <c:manualLayout>
          <c:layoutTarget val="inner"/>
          <c:xMode val="edge"/>
          <c:yMode val="edge"/>
          <c:x val="9.3567251461988327E-2"/>
          <c:y val="5.164319248826274E-2"/>
          <c:w val="0.49415204678362584"/>
          <c:h val="0.7652582159624417"/>
        </c:manualLayout>
      </c:layout>
      <c:barChart>
        <c:barDir val="bar"/>
        <c:grouping val="percentStacked"/>
        <c:ser>
          <c:idx val="0"/>
          <c:order val="0"/>
          <c:tx>
            <c:strRef>
              <c:f>Sheet1!$A$2</c:f>
              <c:strCache>
                <c:ptCount val="1"/>
                <c:pt idx="0">
                  <c:v>максимальные показатели</c:v>
                </c:pt>
              </c:strCache>
            </c:strRef>
          </c:tx>
          <c:dLbls>
            <c:showVal val="1"/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"статистический люфт"</c:v>
                </c:pt>
              </c:strCache>
            </c:strRef>
          </c:tx>
          <c:dLbls>
            <c:showVal val="1"/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базовый показатель</c:v>
                </c:pt>
              </c:strCache>
            </c:strRef>
          </c:tx>
          <c:dLbls>
            <c:dLbl>
              <c:idx val="0"/>
              <c:layout/>
              <c:showVal val="1"/>
            </c:dLbl>
            <c:delete val="1"/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"статистический люфт"</c:v>
                </c:pt>
              </c:strCache>
            </c:strRef>
          </c:tx>
          <c:dLbls>
            <c:showVal val="1"/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минимальные показатели</c:v>
                </c:pt>
              </c:strCache>
            </c:strRef>
          </c:tx>
          <c:dLbls>
            <c:showVal val="1"/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overlap val="100"/>
        <c:axId val="83723392"/>
        <c:axId val="83724928"/>
      </c:barChart>
      <c:catAx>
        <c:axId val="83723392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3724928"/>
        <c:crosses val="autoZero"/>
        <c:auto val="1"/>
        <c:lblAlgn val="ctr"/>
        <c:lblOffset val="100"/>
        <c:tickLblSkip val="1"/>
        <c:tickMarkSkip val="1"/>
      </c:catAx>
      <c:valAx>
        <c:axId val="83724928"/>
        <c:scaling>
          <c:orientation val="minMax"/>
        </c:scaling>
        <c:axPos val="b"/>
        <c:majorGridlines/>
        <c:numFmt formatCode="0%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3723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836257309941561"/>
          <c:y val="8.9201877934272589E-2"/>
          <c:w val="0.31286549707602401"/>
          <c:h val="0.82629107981220651"/>
        </c:manualLayout>
      </c:layout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</c:chart>
  <c:txPr>
    <a:bodyPr/>
    <a:lstStyle/>
    <a:p>
      <a:pPr>
        <a:defRPr sz="1200" baseline="0">
          <a:latin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2222222222222271E-2"/>
          <c:y val="4.3137254901960784E-2"/>
          <c:w val="0.5166666666666665"/>
          <c:h val="0.76862745098039298"/>
        </c:manualLayout>
      </c:layout>
      <c:barChart>
        <c:barDir val="bar"/>
        <c:grouping val="percentStacked"/>
        <c:ser>
          <c:idx val="0"/>
          <c:order val="0"/>
          <c:tx>
            <c:strRef>
              <c:f>Sheet1!$A$2</c:f>
              <c:strCache>
                <c:ptCount val="1"/>
                <c:pt idx="0">
                  <c:v>группа субъектов с высоким уровнем заработной платы</c:v>
                </c:pt>
              </c:strCache>
            </c:strRef>
          </c:tx>
          <c:spPr>
            <a:solidFill>
              <a:srgbClr val="339966"/>
            </a:solidFill>
            <a:ln w="1270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группа субъектов, формирующая базовый показатель</c:v>
                </c:pt>
              </c:strCache>
            </c:strRef>
          </c:tx>
          <c:spPr>
            <a:solidFill>
              <a:srgbClr val="99CC00"/>
            </a:solidFill>
            <a:ln w="1270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группа субъектов с низким уровнем заработной платы</c:v>
                </c:pt>
              </c:strCache>
            </c:strRef>
          </c:tx>
          <c:spPr>
            <a:solidFill>
              <a:srgbClr val="00FF00"/>
            </a:solidFill>
            <a:ln w="1270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29</c:v>
                </c:pt>
              </c:numCache>
            </c:numRef>
          </c:val>
        </c:ser>
        <c:overlap val="100"/>
        <c:axId val="64459520"/>
        <c:axId val="64484480"/>
      </c:barChart>
      <c:catAx>
        <c:axId val="64459520"/>
        <c:scaling>
          <c:orientation val="minMax"/>
        </c:scaling>
        <c:axPos val="l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4484480"/>
        <c:crosses val="autoZero"/>
        <c:auto val="1"/>
        <c:lblAlgn val="ctr"/>
        <c:lblOffset val="100"/>
        <c:tickLblSkip val="1"/>
        <c:tickMarkSkip val="1"/>
      </c:catAx>
      <c:valAx>
        <c:axId val="64484480"/>
        <c:scaling>
          <c:orientation val="minMax"/>
        </c:scaling>
        <c:axPos val="b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459520"/>
        <c:crosses val="autoZero"/>
        <c:crossBetween val="between"/>
      </c:valAx>
      <c:spPr>
        <a:solidFill>
          <a:srgbClr val="C0C0C0"/>
        </a:solidFill>
        <a:ln w="1270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925925925925966"/>
          <c:y val="5.8823529411764705E-2"/>
          <c:w val="0.33518518518518547"/>
          <c:h val="0.73333333333333361"/>
        </c:manualLayout>
      </c:layout>
      <c:spPr>
        <a:noFill/>
        <a:ln w="25405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0.2495</cdr:x>
      <cdr:y>0.66625</cdr:y>
    </cdr:from>
    <cdr:to>
      <cdr:x>0.3605</cdr:x>
      <cdr:y>0.76825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83303" y="1618238"/>
          <a:ext cx="570929" cy="2477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25516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ekologi</dc:creator>
  <cp:keywords/>
  <dc:description/>
  <cp:lastModifiedBy>ekologi</cp:lastModifiedBy>
  <cp:revision>3</cp:revision>
  <dcterms:created xsi:type="dcterms:W3CDTF">2017-05-18T04:23:00Z</dcterms:created>
  <dcterms:modified xsi:type="dcterms:W3CDTF">2017-05-18T04:36:00Z</dcterms:modified>
</cp:coreProperties>
</file>